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E6" w:rsidRPr="009F48E6" w:rsidRDefault="009F48E6" w:rsidP="009F48E6">
      <w:pPr>
        <w:pStyle w:val="ConsPlusTitle"/>
        <w:jc w:val="center"/>
        <w:rPr>
          <w:rFonts w:ascii="Times New Roman" w:hAnsi="Times New Roman" w:cs="Times New Roman"/>
        </w:rPr>
      </w:pPr>
    </w:p>
    <w:p w:rsidR="009F48E6" w:rsidRPr="009F48E6" w:rsidRDefault="009F48E6" w:rsidP="0075176F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9F48E6">
        <w:rPr>
          <w:rFonts w:ascii="Times New Roman" w:hAnsi="Times New Roman" w:cs="Times New Roman"/>
        </w:rPr>
        <w:t xml:space="preserve">ПОСТАНОВЛЕНИЕ </w:t>
      </w:r>
    </w:p>
    <w:p w:rsidR="009F48E6" w:rsidRPr="009F48E6" w:rsidRDefault="007A74D7" w:rsidP="009F48E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 декабря 2016 г. N 369-П</w:t>
      </w:r>
    </w:p>
    <w:p w:rsidR="009F48E6" w:rsidRPr="009F48E6" w:rsidRDefault="009F48E6" w:rsidP="009F48E6">
      <w:pPr>
        <w:pStyle w:val="ConsPlusTitle"/>
        <w:jc w:val="center"/>
        <w:rPr>
          <w:rFonts w:ascii="Times New Roman" w:hAnsi="Times New Roman" w:cs="Times New Roman"/>
        </w:rPr>
      </w:pPr>
      <w:r w:rsidRPr="009F48E6">
        <w:rPr>
          <w:rFonts w:ascii="Times New Roman" w:hAnsi="Times New Roman" w:cs="Times New Roman"/>
        </w:rPr>
        <w:t>О ТЕРРИТОРИАЛЬНОЙ ПРОГРАММЕ ГОСУДАРСТВЕННЫХ ГАРАНТИЙ</w:t>
      </w:r>
    </w:p>
    <w:p w:rsidR="009F48E6" w:rsidRPr="009F48E6" w:rsidRDefault="009F48E6" w:rsidP="009F48E6">
      <w:pPr>
        <w:pStyle w:val="ConsPlusTitle"/>
        <w:jc w:val="center"/>
        <w:rPr>
          <w:rFonts w:ascii="Times New Roman" w:hAnsi="Times New Roman" w:cs="Times New Roman"/>
        </w:rPr>
      </w:pPr>
      <w:r w:rsidRPr="009F48E6">
        <w:rPr>
          <w:rFonts w:ascii="Times New Roman" w:hAnsi="Times New Roman" w:cs="Times New Roman"/>
        </w:rPr>
        <w:t>БЕСПЛАТНОГО ОКАЗАНИЯ ГРАЖДАНАМ МЕДИЦИНСКОЙ ПОМОЩИ</w:t>
      </w:r>
    </w:p>
    <w:p w:rsidR="009F48E6" w:rsidRDefault="009F48E6" w:rsidP="009F48E6">
      <w:pPr>
        <w:pStyle w:val="ConsPlusTitle"/>
        <w:jc w:val="center"/>
        <w:rPr>
          <w:rFonts w:ascii="Times New Roman" w:hAnsi="Times New Roman" w:cs="Times New Roman"/>
        </w:rPr>
      </w:pPr>
      <w:r w:rsidRPr="009F48E6">
        <w:rPr>
          <w:rFonts w:ascii="Times New Roman" w:hAnsi="Times New Roman" w:cs="Times New Roman"/>
        </w:rPr>
        <w:t xml:space="preserve">В ХАНТЫ-МАНСИЙСКОМ </w:t>
      </w:r>
      <w:r w:rsidR="007A74D7">
        <w:rPr>
          <w:rFonts w:ascii="Times New Roman" w:hAnsi="Times New Roman" w:cs="Times New Roman"/>
        </w:rPr>
        <w:t>АВТОНОМНОМ ОКРУГЕ - ЮГРЕ НА 2017</w:t>
      </w:r>
      <w:r w:rsidRPr="009F48E6">
        <w:rPr>
          <w:rFonts w:ascii="Times New Roman" w:hAnsi="Times New Roman" w:cs="Times New Roman"/>
        </w:rPr>
        <w:t xml:space="preserve"> ГОД</w:t>
      </w:r>
    </w:p>
    <w:p w:rsidR="007A74D7" w:rsidRPr="007A74D7" w:rsidRDefault="007A74D7" w:rsidP="007A74D7">
      <w:pPr>
        <w:pStyle w:val="ConsPlusTitle"/>
        <w:jc w:val="center"/>
        <w:rPr>
          <w:rFonts w:ascii="Times New Roman" w:hAnsi="Times New Roman" w:cs="Times New Roman"/>
        </w:rPr>
      </w:pPr>
      <w:r w:rsidRPr="007A74D7">
        <w:rPr>
          <w:rFonts w:ascii="Times New Roman" w:hAnsi="Times New Roman" w:cs="Times New Roman"/>
        </w:rPr>
        <w:t>И НА ПЛАНОВЫЙ ПЕРИОД 2018</w:t>
      </w:r>
      <w:proofErr w:type="gramStart"/>
      <w:r w:rsidRPr="007A74D7">
        <w:rPr>
          <w:rFonts w:ascii="Times New Roman" w:hAnsi="Times New Roman" w:cs="Times New Roman"/>
        </w:rPr>
        <w:t xml:space="preserve"> И</w:t>
      </w:r>
      <w:proofErr w:type="gramEnd"/>
      <w:r w:rsidRPr="007A74D7">
        <w:rPr>
          <w:rFonts w:ascii="Times New Roman" w:hAnsi="Times New Roman" w:cs="Times New Roman"/>
        </w:rPr>
        <w:t xml:space="preserve"> 2019 ГОДОВ</w:t>
      </w:r>
    </w:p>
    <w:p w:rsidR="007A74D7" w:rsidRPr="009F48E6" w:rsidRDefault="007A74D7" w:rsidP="009F48E6">
      <w:pPr>
        <w:pStyle w:val="ConsPlusTitle"/>
        <w:jc w:val="center"/>
        <w:rPr>
          <w:rFonts w:ascii="Times New Roman" w:hAnsi="Times New Roman" w:cs="Times New Roman"/>
        </w:rPr>
      </w:pPr>
    </w:p>
    <w:bookmarkEnd w:id="0"/>
    <w:p w:rsidR="009F48E6" w:rsidRPr="009F48E6" w:rsidRDefault="009F48E6" w:rsidP="009F48E6">
      <w:pPr>
        <w:pStyle w:val="ConsPlusNormal"/>
        <w:jc w:val="center"/>
        <w:rPr>
          <w:rFonts w:ascii="Times New Roman" w:hAnsi="Times New Roman" w:cs="Times New Roman"/>
          <w:b/>
        </w:rPr>
      </w:pPr>
      <w:r w:rsidRPr="009F48E6">
        <w:rPr>
          <w:rFonts w:ascii="Times New Roman" w:hAnsi="Times New Roman" w:cs="Times New Roman"/>
          <w:b/>
        </w:rPr>
        <w:t>Критерии доступности и качества медицинской помощи,</w:t>
      </w:r>
    </w:p>
    <w:p w:rsidR="009F48E6" w:rsidRPr="009F48E6" w:rsidRDefault="009F48E6" w:rsidP="009F48E6">
      <w:pPr>
        <w:pStyle w:val="ConsPlusNormal"/>
        <w:jc w:val="center"/>
        <w:rPr>
          <w:rFonts w:ascii="Times New Roman" w:hAnsi="Times New Roman" w:cs="Times New Roman"/>
          <w:b/>
        </w:rPr>
      </w:pPr>
      <w:r w:rsidRPr="009F48E6">
        <w:rPr>
          <w:rFonts w:ascii="Times New Roman" w:hAnsi="Times New Roman" w:cs="Times New Roman"/>
          <w:b/>
        </w:rPr>
        <w:t>оказываемой в рамках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102"/>
        <w:gridCol w:w="2268"/>
        <w:gridCol w:w="1644"/>
      </w:tblGrid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Удовлетворенность населения медицинской помощью (по результатам мониторинга общественного мнения жителей автономного округа по удовлетворенности качеством оказания медицинских услуг</w:t>
            </w:r>
            <w:proofErr w:type="gramStart"/>
            <w:r w:rsidRPr="009F48E6">
              <w:rPr>
                <w:rFonts w:ascii="Times New Roman" w:hAnsi="Times New Roman" w:cs="Times New Roman"/>
              </w:rPr>
              <w:t>.П</w:t>
            </w:r>
            <w:proofErr w:type="gramEnd"/>
            <w:r w:rsidRPr="009F48E6">
              <w:rPr>
                <w:rFonts w:ascii="Times New Roman" w:hAnsi="Times New Roman" w:cs="Times New Roman"/>
              </w:rPr>
              <w:t>роводится ежегодно БУ "Центр медицинской профилактики" методом анкетирования жителей всех муниципальных образований автономного округа различного возраста, пола и рода деятельности в медицинских организациях государственной формы собственности)</w:t>
            </w:r>
          </w:p>
        </w:tc>
        <w:tc>
          <w:tcPr>
            <w:tcW w:w="2268" w:type="dxa"/>
            <w:vMerge w:val="restart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 xml:space="preserve">% от числа </w:t>
            </w:r>
            <w:proofErr w:type="gramStart"/>
            <w:r w:rsidRPr="009F48E6"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не менее 60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не менее 61,5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не менее 59,0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Доля медицинских организаций, участвующих в территориальной программе, имеющих значение рейтинга на официальном сайте для размещения информации о государственных и муниципальных учреждениях (www.bus.gov.ru) в информационно-телекоммуникационной сети Интернет от 0,8 до 1,0, в общем количестве медицинских организаций, участвующих в территориальной программе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54,7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Смертность населения, в том числе:</w:t>
            </w:r>
          </w:p>
        </w:tc>
        <w:tc>
          <w:tcPr>
            <w:tcW w:w="2268" w:type="dxa"/>
            <w:vMerge w:val="restart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число умерших на 1000 человек населения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6,2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6,15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8,81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442,0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2268" w:type="dxa"/>
            <w:vMerge w:val="restart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287,5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280,3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367,7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153,0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 xml:space="preserve">Смертность населения от новообразований (в том </w:t>
            </w:r>
            <w:r w:rsidRPr="009F48E6">
              <w:rPr>
                <w:rFonts w:ascii="Times New Roman" w:hAnsi="Times New Roman" w:cs="Times New Roman"/>
              </w:rPr>
              <w:lastRenderedPageBreak/>
              <w:t xml:space="preserve">числе </w:t>
            </w:r>
            <w:proofErr w:type="gramStart"/>
            <w:r w:rsidRPr="009F48E6">
              <w:rPr>
                <w:rFonts w:ascii="Times New Roman" w:hAnsi="Times New Roman" w:cs="Times New Roman"/>
              </w:rPr>
              <w:t>от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злокачественных), в том числе:</w:t>
            </w:r>
          </w:p>
        </w:tc>
        <w:tc>
          <w:tcPr>
            <w:tcW w:w="2268" w:type="dxa"/>
            <w:vMerge w:val="restart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48E6">
              <w:rPr>
                <w:rFonts w:ascii="Times New Roman" w:hAnsi="Times New Roman" w:cs="Times New Roman"/>
              </w:rPr>
              <w:lastRenderedPageBreak/>
              <w:t xml:space="preserve">число умерших от </w:t>
            </w:r>
            <w:r w:rsidRPr="009F48E6">
              <w:rPr>
                <w:rFonts w:ascii="Times New Roman" w:hAnsi="Times New Roman" w:cs="Times New Roman"/>
              </w:rPr>
              <w:lastRenderedPageBreak/>
              <w:t>новообразований (в том числе от злокачественных) на 100 тыс. человек населения</w:t>
            </w:r>
            <w:proofErr w:type="gramEnd"/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lastRenderedPageBreak/>
              <w:t>110,0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109,0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125,0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Смертность населения от туберкулеза, в том числе:</w:t>
            </w:r>
          </w:p>
        </w:tc>
        <w:tc>
          <w:tcPr>
            <w:tcW w:w="2268" w:type="dxa"/>
            <w:vMerge w:val="restart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случаев на 100 тыс. человек населения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5,7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5,65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8,28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 xml:space="preserve">на 100 тыс. </w:t>
            </w:r>
            <w:proofErr w:type="gramStart"/>
            <w:r w:rsidRPr="009F48E6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7,7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Младенческая смертность, в том числе:</w:t>
            </w:r>
          </w:p>
        </w:tc>
        <w:tc>
          <w:tcPr>
            <w:tcW w:w="2268" w:type="dxa"/>
            <w:vMerge w:val="restart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 xml:space="preserve">на 1000 </w:t>
            </w:r>
            <w:proofErr w:type="gramStart"/>
            <w:r w:rsidRPr="009F48E6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5,5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5,4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6,1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9F48E6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25,0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9F48E6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9,0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Смертность детей в возрасте 0 - 4 лет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148,0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Доля умерших в возрасте до 0 - 4 лет на дому в общем количестве умерших в возрасте до 0 - 4 лет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9,0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Смертность детей в возрасте 0 - 17 лет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66,0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11,0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48,0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Обеспеченность населения врачами, в том числе оказывающими медицинскую помощь в амбулаторных и стационарных условиях, в том числе:</w:t>
            </w:r>
          </w:p>
        </w:tc>
        <w:tc>
          <w:tcPr>
            <w:tcW w:w="2268" w:type="dxa"/>
            <w:vMerge w:val="restart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45,2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47,0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19,0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F48E6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медицинскую помощь в амбулаторных условиях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24,7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F48E6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медицинскую помощь в стационарных условиях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17,5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условиях, в том числе:</w:t>
            </w:r>
          </w:p>
        </w:tc>
        <w:tc>
          <w:tcPr>
            <w:tcW w:w="2268" w:type="dxa"/>
            <w:vMerge w:val="restart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132,6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142,5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94,5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19.3.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F48E6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медицинскую помощь в амбулаторных условиях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64,1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19.4.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F48E6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медицинскую помощь в стационарных условиях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58,5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автономному округу)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11,6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Эффективность деятельности медицинских организаций на основе оценки выполнения функции врачебной должности, показателей рационального и целевого использования коечного фонда</w:t>
            </w:r>
          </w:p>
        </w:tc>
        <w:tc>
          <w:tcPr>
            <w:tcW w:w="2268" w:type="dxa"/>
            <w:vMerge w:val="restart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 от установленного норматива</w:t>
            </w:r>
          </w:p>
        </w:tc>
        <w:tc>
          <w:tcPr>
            <w:tcW w:w="1644" w:type="dxa"/>
            <w:vMerge w:val="restart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100,0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F48E6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в городской местности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F48E6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от всех расходов на Программу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4,8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9F48E6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от всех расходов на Программу</w:t>
            </w:r>
            <w:proofErr w:type="gramEnd"/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2,1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Доля впервые выявленных случаев туберкулеза в ранней стадии от общего количества случаев выявленного туберкулеза в течение года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63,3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52,2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Полнота охвата профилактическими осмотрами детей, в том числе:</w:t>
            </w:r>
          </w:p>
        </w:tc>
        <w:tc>
          <w:tcPr>
            <w:tcW w:w="2268" w:type="dxa"/>
            <w:vMerge w:val="restart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98,8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98,9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26.2.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268" w:type="dxa"/>
            <w:vMerge/>
          </w:tcPr>
          <w:p w:rsidR="009F48E6" w:rsidRPr="009F48E6" w:rsidRDefault="009F48E6" w:rsidP="008E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98,7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Доля числа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соответствии с территориальной программой ОМС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0,61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на 1000 человек сельского населения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233,0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 xml:space="preserve">Доля фельдшерско-акушерских пунктов и </w:t>
            </w:r>
            <w:r w:rsidRPr="009F48E6">
              <w:rPr>
                <w:rFonts w:ascii="Times New Roman" w:hAnsi="Times New Roman" w:cs="Times New Roman"/>
              </w:rPr>
              <w:lastRenderedPageBreak/>
              <w:t>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Доля выездов бригад скорой медицинской помощи со временем прибытия до пациента менее 20 минут с момента вызова в общем количестве вызовов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96,0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 xml:space="preserve">Доля числа пациентов с инфарктом миокарда, госпитализированных </w:t>
            </w:r>
            <w:proofErr w:type="gramStart"/>
            <w:r w:rsidRPr="009F48E6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87,0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Доля числа пациентов с острым инфарктом миокарда, которым проведена тромболитическая терапия, в общем количестве госпитализированных пациентов с острым инфарктом миокарда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19,0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Доля числа пациентов с острым инфарктом миокарда, которым проведено стентирование коронарных артерий, в общем количестве госпитализированных пациентов с острым инфарктом миокарда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40,0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количество исследований на 100 пациентов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9,0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 xml:space="preserve">Доля числа пациентов с острыми цереброваскулярными болезнями, госпитализированных </w:t>
            </w:r>
            <w:proofErr w:type="gramStart"/>
            <w:r w:rsidRPr="009F48E6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65,0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 xml:space="preserve">Доля числа пациентов с острым ишемическим инсультом, которым проведена тромболитическая терапия </w:t>
            </w:r>
            <w:proofErr w:type="gramStart"/>
            <w:r w:rsidRPr="009F48E6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9F48E6">
              <w:rPr>
                <w:rFonts w:ascii="Times New Roman" w:hAnsi="Times New Roman" w:cs="Times New Roman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1,5</w:t>
            </w:r>
          </w:p>
        </w:tc>
      </w:tr>
      <w:tr w:rsidR="009F48E6" w:rsidRPr="009F48E6" w:rsidTr="008E7BA9">
        <w:tc>
          <w:tcPr>
            <w:tcW w:w="62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102" w:type="dxa"/>
          </w:tcPr>
          <w:p w:rsidR="009F48E6" w:rsidRPr="009F48E6" w:rsidRDefault="009F48E6" w:rsidP="008E7BA9">
            <w:pPr>
              <w:pStyle w:val="ConsPlusNormal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соответствии с Программой</w:t>
            </w:r>
          </w:p>
        </w:tc>
        <w:tc>
          <w:tcPr>
            <w:tcW w:w="2268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44" w:type="dxa"/>
          </w:tcPr>
          <w:p w:rsidR="009F48E6" w:rsidRPr="009F48E6" w:rsidRDefault="009F48E6" w:rsidP="008E7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8E6">
              <w:rPr>
                <w:rFonts w:ascii="Times New Roman" w:hAnsi="Times New Roman" w:cs="Times New Roman"/>
              </w:rPr>
              <w:t>0</w:t>
            </w:r>
          </w:p>
        </w:tc>
      </w:tr>
    </w:tbl>
    <w:p w:rsidR="006440AA" w:rsidRPr="009F48E6" w:rsidRDefault="006440AA" w:rsidP="00644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8366E" w:rsidRPr="009F48E6" w:rsidRDefault="0038366E" w:rsidP="009F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8366E" w:rsidRPr="009F48E6" w:rsidSect="00171806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97100"/>
    <w:rsid w:val="001222D4"/>
    <w:rsid w:val="00171806"/>
    <w:rsid w:val="0038366E"/>
    <w:rsid w:val="006440AA"/>
    <w:rsid w:val="0075176F"/>
    <w:rsid w:val="007A74D7"/>
    <w:rsid w:val="009F48E6"/>
    <w:rsid w:val="00A42E69"/>
    <w:rsid w:val="00A97100"/>
    <w:rsid w:val="00DA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F4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2017-01-13T04:31:00Z</cp:lastPrinted>
  <dcterms:created xsi:type="dcterms:W3CDTF">2015-03-11T12:29:00Z</dcterms:created>
  <dcterms:modified xsi:type="dcterms:W3CDTF">2017-01-13T04:32:00Z</dcterms:modified>
</cp:coreProperties>
</file>